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S5-236764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pPr>
      <w:r>
        <w:rPr>
          <w:b/>
          <w:bCs/>
          <w:sz w:val="24"/>
        </w:rPr>
        <w:t>Xiamen, China, 9 - 13 October 2023</w:t>
      </w:r>
      <w:r>
        <w:tab/>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China Telecomunication</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SID on effectiveness of zero-touch orchestration and management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Study</w:t>
      </w:r>
      <w:r>
        <w:rPr>
          <w:rFonts w:hint="eastAsia" w:ascii="Arial" w:hAnsi="Arial" w:eastAsia="Times New Roman" w:cs="Times New Roman"/>
          <w:color w:val="auto"/>
          <w:sz w:val="36"/>
          <w:szCs w:val="20"/>
          <w:lang w:eastAsia="ja-JP"/>
        </w:rPr>
        <w:t xml:space="preserve"> on effectiveness of zero-touch orchestration and management</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FS_EZTO</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4"/>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rPr>
                <w:rFonts w:hint="eastAsia" w:eastAsia="宋体"/>
                <w:lang w:val="en-US" w:eastAsia="zh-CN"/>
              </w:rPr>
            </w:pPr>
            <w:r>
              <w:rPr>
                <w:rFonts w:hint="eastAsia" w:eastAsia="宋体"/>
                <w:lang w:val="en-US" w:eastAsia="zh-CN"/>
              </w:rPr>
              <w:t>X</w:t>
            </w:r>
          </w:p>
        </w:tc>
        <w:tc>
          <w:tcPr>
            <w:tcW w:w="851" w:type="dxa"/>
            <w:tcBorders>
              <w:top w:val="nil"/>
            </w:tcBorders>
          </w:tcPr>
          <w:p>
            <w:pPr>
              <w:pStyle w:val="28"/>
              <w:rPr>
                <w:rFonts w:hint="eastAsia" w:eastAsia="宋体"/>
                <w:lang w:val="en-US" w:eastAsia="zh-CN"/>
              </w:rPr>
            </w:pPr>
            <w:r>
              <w:rPr>
                <w:rFonts w:hint="eastAsia" w:eastAsia="宋体"/>
                <w:lang w:val="en-US" w:eastAsia="zh-CN"/>
              </w:rP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rFonts w:hint="eastAsia" w:eastAsia="宋体"/>
                <w:lang w:val="en-US" w:eastAsia="zh-CN"/>
              </w:rPr>
            </w:pPr>
            <w:r>
              <w:rPr>
                <w:rFonts w:hint="eastAsia" w:eastAsia="宋体"/>
                <w:lang w:val="en-US" w:eastAsia="zh-CN"/>
              </w:rPr>
              <w:t>X</w:t>
            </w:r>
          </w:p>
        </w:tc>
        <w:tc>
          <w:tcPr>
            <w:tcW w:w="1037" w:type="dxa"/>
          </w:tcPr>
          <w:p>
            <w:pPr>
              <w:pStyle w:val="28"/>
              <w:rPr>
                <w:rFonts w:hint="eastAsia" w:eastAsia="宋体"/>
                <w:lang w:val="en-US" w:eastAsia="zh-CN"/>
              </w:rPr>
            </w:pPr>
            <w:r>
              <w:rPr>
                <w:rFonts w:hint="eastAsia" w:eastAsia="宋体"/>
                <w:lang w:val="en-US" w:eastAsia="zh-CN"/>
              </w:rPr>
              <w:t>X</w:t>
            </w: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rPr>
                <w:rFonts w:hint="eastAsia"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宋体"/>
                <w:lang w:val="en-US" w:eastAsia="zh-CN"/>
              </w:rPr>
            </w:pPr>
            <w:r>
              <w:rPr>
                <w:rFonts w:hint="eastAsia" w:eastAsia="宋体"/>
                <w:lang w:val="en-US"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p>
        </w:tc>
        <w:tc>
          <w:tcPr>
            <w:tcW w:w="1101" w:type="dxa"/>
          </w:tcPr>
          <w:p>
            <w:pPr>
              <w:pStyle w:val="26"/>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p>
        </w:tc>
        <w:tc>
          <w:tcPr>
            <w:tcW w:w="3326" w:type="dxa"/>
          </w:tcPr>
          <w:p>
            <w:pPr>
              <w:pStyle w:val="26"/>
            </w:pPr>
          </w:p>
        </w:tc>
        <w:tc>
          <w:tcPr>
            <w:tcW w:w="5099" w:type="dxa"/>
          </w:tcPr>
          <w:p>
            <w:pPr>
              <w:pStyle w:val="24"/>
            </w:pPr>
            <w:r>
              <w:t xml:space="preserve">{optional free text} </w:t>
            </w:r>
          </w:p>
        </w:tc>
      </w:tr>
    </w:tbl>
    <w:p>
      <w:pPr>
        <w:pStyle w:val="29"/>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ETSI ISG ZSM, the concept of zero-touch network and service management is introduced. Requirements based on documented scenarios are specified in ETSI GS ZSM 001, and the reference architecture for the end-to-end Zero-touch network and Service Management (ZSM) framework based on ETSI GS ZSM 001 is defined and described in ETSI GS ZSM 002. The E2E network slicing management solutions and related management interfaces are specified in ETSI GS ZSM 003. The scenarios and requirements for AI-enabled zero-touch automated network and service management are provided in</w:t>
      </w:r>
      <w:r>
        <w:rPr>
          <w:rFonts w:hint="eastAsia" w:ascii="Times New Roman" w:hAnsi="Times New Roman" w:eastAsia="Times New Roman" w:cs="Times New Roman"/>
          <w:lang w:val="en-US" w:eastAsia="zh-CN"/>
        </w:rPr>
        <w:t xml:space="preserve"> ETSI GS ZSM 012</w:t>
      </w:r>
      <w:r>
        <w:rPr>
          <w:rFonts w:hint="eastAsia" w:ascii="Times New Roman" w:hAnsi="Times New Roman" w:eastAsia="Times New Roman" w:cs="Times New Roman"/>
          <w:lang w:eastAsia="zh-CN"/>
        </w:rPr>
        <w:t>.</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TM Forum, the vision of autonomous network is described in “A white paper on autonomous networks; Empowering digital transformation – from strategy to implementation” as “Autonomous Networks aim to provide zero-wait, zero-touch and zero-trouble customer experience for vertical industry users and consumers through intelligent infrastructure, agile operations and all-inclusive services of fully automated networks and ICT.” And with this vision, autonomous networks are expected to support self-service, self-fulfilling and self-assuring in TM Forum. To reflect the effect of an autonomous network and help CSPs identify what benefits they could receive by upgrading their telecommunications system with more autonomy capabilities, Key Effectiveness Indicators (KEIs) are introduced in TM Forum IG1256.</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Linux Foundation, to achieve the zero-touch deployment of network slicing, E2E network slicing design and installation, including RAN and core sub-net slicing design and installation is demonstrated in the project ONAP.</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Similar with the concept and idea of zero-touch network and service management studied in the SDOs or industry parties above, 3GPP also defined many intelligence and automation related management features e.g. SON, MDA, AI/ML management, IDMS, CCL with the aims of achieving self-configuration, self-monitoring, self-healing, and self-optimization. </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Similar with KEIs introduced in TM Forum, in 3GPP SA5, the Rel-18 SI (FS_ANLEVA) starts to study the concept of KEI and use case specific KEIs, the latest study output is captured in Draft TR 28.909. As described in clause 4.1.4 in Draft TR 28.909, after introducing autonomy capabilities to the 3GPP management system, less human intervention is needed in a management workflow. With the help of less or even no human intervention (zero-touch), some technical effects can be acquired which are beneficial to the NOPs, such as:</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Reducing OPEX spend on human effort in the management workflow.</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Reducing loss or increasing profits by speed up the E2E management workflow (e.g. speed up the workflow of cell failure identification and recovery can reduce cost from customer complaints and increase profits by carrying more UE traffic).</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Improving network and service performance by achieving more refined network management and control with limited human resources.</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Existing KPIs defined in 3GPP SA5 can be used to reflect the effect of introducing intelligence and automation related management features from performance improving perspective. However, KPIs can not reflect the effect from zero-touch orchestration and management perspective which aims to self-configuration, self-monitoring, self-healing, and self-optimization. For example, no existing KPI can reflect the automation ratio (degree of self-X) in a management workflow, and no existing KPI can reflect the duration of a management workflow.</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Similar as KPIs can help NOPs to evaluate the performance of their network and thus to tell them when (KPI deteriorates to certain value) to trigger the network optimization, KEIs can help NOPs to evaluate the effect after introducing autonomy capabilities to their network, and thus to tell them when (KEI value does not meet expectations) to trigger autonomy capability upgrading. Take fault management use case as an example, with a KEI specified to reflect the duration cost on RCA, if the KEI does not meet expectations in some scenario or in some specific area, this KEI can be used to trigger the RCA related AI/ML model retraining. NOTE: there could be other indicators that can be used to trigger AI/ML model retraining from other perspective (e.g. accuracy indicators from perspective accurate analysis).</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Therefore, to understand how to define the KEIs to reflect the effectiveness of zero-touch orchestration and management for 3GPP network, measurements and indicators for the effectiveness monitoring, management capabilities and potential requirements to support the effectiveness monitoring need to be studied in 3GPP SA5.</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AI/ML is one of the key technologies to enable zero-touch orchestration and management (ZTO). SA5 has defined many capabilities for AI/ML management. However, to achieve end-to-end automation and zero-touch, the collaboration of individual AI/ML capabilities is necessary to be considered. The orchestration and management of AI/ML flows needs to be investigated.</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Similar with the vision of autonomous networks defined in TM Forum, ZTO is also expected to support self-service, self-fulfilling and self-assuring, especially in the scenario of E2E network slicing management. And sometimes, the </w:t>
      </w:r>
      <w:r>
        <w:rPr>
          <w:rFonts w:hint="eastAsia" w:cs="Times New Roman"/>
          <w:lang w:val="en-US" w:eastAsia="zh-CN"/>
        </w:rPr>
        <w:t>user</w:t>
      </w:r>
      <w:r>
        <w:rPr>
          <w:rFonts w:hint="eastAsia" w:ascii="Times New Roman" w:hAnsi="Times New Roman" w:eastAsia="Times New Roman" w:cs="Times New Roman"/>
          <w:lang w:eastAsia="zh-CN"/>
        </w:rPr>
        <w:t xml:space="preserve">’s requirements on E2E network slice are dynamic, which may impact multiple network domains such as RAN, CN. Therefore, interaction and assurance for </w:t>
      </w:r>
      <w:r>
        <w:rPr>
          <w:rFonts w:hint="eastAsia" w:cs="Times New Roman"/>
          <w:lang w:val="en-US" w:eastAsia="zh-CN"/>
        </w:rPr>
        <w:t>user</w:t>
      </w:r>
      <w:r>
        <w:rPr>
          <w:rFonts w:hint="eastAsia" w:ascii="Times New Roman" w:hAnsi="Times New Roman" w:eastAsia="Times New Roman" w:cs="Times New Roman"/>
          <w:lang w:eastAsia="zh-CN"/>
        </w:rPr>
        <w:t>-centric dynamic requirements need to be studied, including but not limited to dynamic requirements identification, decomposition, updates, and feedback.</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cs="Times New Roman"/>
          <w:b/>
          <w:bCs/>
          <w:lang w:val="en-US" w:eastAsia="zh-CN"/>
        </w:rPr>
        <w:t>WoP#1</w:t>
      </w:r>
      <w:r>
        <w:rPr>
          <w:rFonts w:hint="eastAsia" w:cs="Times New Roman"/>
          <w:lang w:val="en-US" w:eastAsia="zh-CN"/>
        </w:rPr>
        <w:t xml:space="preserve">: </w:t>
      </w:r>
      <w:r>
        <w:rPr>
          <w:rFonts w:hint="eastAsia" w:ascii="Times New Roman" w:hAnsi="Times New Roman" w:eastAsia="Times New Roman" w:cs="Times New Roman"/>
          <w:lang w:eastAsia="zh-CN"/>
        </w:rPr>
        <w:t>Measurements and indicators for the effectiveness of ZTO for the scenarios, including but not limited to:</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E2E network slicing management</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Radio network coverage optimization</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RAN UE throughput optimization</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Fault management</w:t>
      </w:r>
    </w:p>
    <w:p>
      <w:pPr>
        <w:overflowPunct w:val="0"/>
        <w:autoSpaceDE w:val="0"/>
        <w:autoSpaceDN w:val="0"/>
        <w:adjustRightInd w:val="0"/>
        <w:spacing w:after="180"/>
        <w:textAlignment w:val="baseline"/>
        <w:rPr>
          <w:rFonts w:hint="eastAsia" w:cs="Times New Roman"/>
          <w:lang w:val="en-US" w:eastAsia="zh-CN"/>
        </w:rPr>
      </w:pPr>
      <w:r>
        <w:rPr>
          <w:rFonts w:hint="eastAsia" w:cs="Times New Roman"/>
          <w:b/>
          <w:bCs/>
          <w:lang w:val="en-US" w:eastAsia="zh-CN"/>
        </w:rPr>
        <w:t>WoP#2</w:t>
      </w:r>
      <w:r>
        <w:rPr>
          <w:rFonts w:hint="eastAsia" w:cs="Times New Roman"/>
          <w:lang w:val="en-US" w:eastAsia="zh-CN"/>
        </w:rPr>
        <w:t>: Management capabilities and potential requirements to support the effectiveness measurement.</w:t>
      </w:r>
    </w:p>
    <w:p>
      <w:pPr>
        <w:overflowPunct w:val="0"/>
        <w:autoSpaceDE w:val="0"/>
        <w:autoSpaceDN w:val="0"/>
        <w:adjustRightInd w:val="0"/>
        <w:spacing w:after="180"/>
        <w:textAlignment w:val="baseline"/>
        <w:rPr>
          <w:rFonts w:hint="eastAsia" w:cs="Times New Roman"/>
          <w:lang w:val="en-US" w:eastAsia="zh-CN"/>
        </w:rPr>
      </w:pPr>
      <w:r>
        <w:rPr>
          <w:rFonts w:hint="eastAsia" w:cs="Times New Roman"/>
          <w:b/>
          <w:bCs/>
          <w:lang w:val="en-US" w:eastAsia="zh-CN"/>
        </w:rPr>
        <w:t>WoP#3</w:t>
      </w:r>
      <w:r>
        <w:rPr>
          <w:rFonts w:hint="eastAsia" w:cs="Times New Roman"/>
          <w:lang w:val="en-US" w:eastAsia="zh-CN"/>
        </w:rPr>
        <w:t>: Use cases, potential requirements, and possible solutions for E2E AI flow management and orchestration capabilities to improve the effectiveness of ZTO. Methods for orchestrating and managing AI flows to support ZTO.</w:t>
      </w:r>
    </w:p>
    <w:p>
      <w:pPr>
        <w:overflowPunct w:val="0"/>
        <w:autoSpaceDE w:val="0"/>
        <w:autoSpaceDN w:val="0"/>
        <w:adjustRightInd w:val="0"/>
        <w:spacing w:after="180"/>
        <w:textAlignment w:val="baseline"/>
        <w:rPr>
          <w:rFonts w:hint="eastAsia" w:cs="Times New Roman"/>
          <w:lang w:val="en-US" w:eastAsia="zh-CN"/>
        </w:rPr>
      </w:pPr>
      <w:r>
        <w:rPr>
          <w:rFonts w:hint="eastAsia" w:cs="Times New Roman"/>
          <w:b/>
          <w:bCs/>
          <w:lang w:val="en-US" w:eastAsia="zh-CN"/>
        </w:rPr>
        <w:t>WoP#4</w:t>
      </w:r>
      <w:r>
        <w:rPr>
          <w:rFonts w:hint="eastAsia" w:cs="Times New Roman"/>
          <w:lang w:val="en-US" w:eastAsia="zh-CN"/>
        </w:rPr>
        <w:t>: Capabilities for user-centric dynamic requirements interaction and assurance to support ZTO.</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User-centric dynamic requirements identification, decomposition, and updates.</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E2E QoE assurance through ZTO.</w:t>
      </w:r>
    </w:p>
    <w:p>
      <w:pPr>
        <w:overflowPunct w:val="0"/>
        <w:autoSpaceDE w:val="0"/>
        <w:autoSpaceDN w:val="0"/>
        <w:adjustRightInd w:val="0"/>
        <w:spacing w:after="180"/>
        <w:textAlignment w:val="baseline"/>
        <w:rPr>
          <w:rFonts w:hint="default" w:cs="Times New Roman"/>
          <w:lang w:val="en-US" w:eastAsia="zh-CN"/>
        </w:rPr>
      </w:pPr>
      <w:r>
        <w:rPr>
          <w:rFonts w:hint="default" w:cs="Times New Roman"/>
          <w:lang w:val="en-US" w:eastAsia="zh-CN"/>
        </w:rPr>
        <w:t>The study will coordinate with other SDOs or industry parties (e.g. TM Forum, ETSI ISG ZSM, LFN-ONAP) on zero-touch orchestration and management when needed.</w:t>
      </w:r>
    </w:p>
    <w:p>
      <w:pPr>
        <w:pStyle w:val="3"/>
        <w:rPr>
          <w:rStyle w:val="17"/>
          <w:i w:val="0"/>
          <w:iCs w:val="0"/>
          <w:lang w:eastAsia="zh-CN"/>
        </w:rPr>
      </w:pPr>
      <w:r>
        <w:t>TU estimates and dependencies</w:t>
      </w:r>
      <w:r>
        <w:rPr>
          <w:rStyle w:val="17"/>
          <w:i w:val="0"/>
          <w:iCs w:val="0"/>
          <w:lang w:eastAsia="zh-CN"/>
        </w:rPr>
        <w:t xml:space="preserve"> </w:t>
      </w:r>
    </w:p>
    <w:tbl>
      <w:tblPr>
        <w:tblStyle w:val="1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701" w:type="dxa"/>
            <w:shd w:val="clear" w:color="auto" w:fill="auto"/>
            <w:noWrap w:val="0"/>
            <w:vAlign w:val="top"/>
          </w:tcPr>
          <w:p>
            <w:pPr>
              <w:rPr>
                <w:b/>
                <w:bCs/>
                <w:highlight w:val="none"/>
              </w:rPr>
            </w:pPr>
            <w:r>
              <w:rPr>
                <w:b/>
                <w:bCs/>
                <w:highlight w:val="none"/>
              </w:rPr>
              <w:t>Work Task ID</w:t>
            </w:r>
          </w:p>
        </w:tc>
        <w:tc>
          <w:tcPr>
            <w:tcW w:w="1560" w:type="dxa"/>
            <w:shd w:val="clear" w:color="auto" w:fill="auto"/>
            <w:noWrap w:val="0"/>
            <w:vAlign w:val="top"/>
          </w:tcPr>
          <w:p>
            <w:pPr>
              <w:rPr>
                <w:b/>
                <w:bCs/>
                <w:highlight w:val="none"/>
              </w:rPr>
            </w:pPr>
            <w:r>
              <w:rPr>
                <w:b/>
                <w:bCs/>
                <w:highlight w:val="none"/>
              </w:rPr>
              <w:t>TU Estimate</w:t>
            </w:r>
          </w:p>
          <w:p>
            <w:pPr>
              <w:rPr>
                <w:b/>
                <w:bCs/>
                <w:highlight w:val="none"/>
              </w:rPr>
            </w:pPr>
            <w:r>
              <w:rPr>
                <w:b/>
                <w:bCs/>
                <w:highlight w:val="none"/>
              </w:rPr>
              <w:t>(Study)</w:t>
            </w:r>
          </w:p>
        </w:tc>
        <w:tc>
          <w:tcPr>
            <w:tcW w:w="1559" w:type="dxa"/>
            <w:noWrap w:val="0"/>
            <w:vAlign w:val="top"/>
          </w:tcPr>
          <w:p>
            <w:pPr>
              <w:rPr>
                <w:b/>
                <w:bCs/>
                <w:highlight w:val="none"/>
              </w:rPr>
            </w:pPr>
            <w:r>
              <w:rPr>
                <w:b/>
                <w:bCs/>
                <w:highlight w:val="none"/>
              </w:rPr>
              <w:t>TU Estimate</w:t>
            </w:r>
          </w:p>
          <w:p>
            <w:pPr>
              <w:rPr>
                <w:b/>
                <w:bCs/>
                <w:highlight w:val="none"/>
              </w:rPr>
            </w:pPr>
            <w:r>
              <w:rPr>
                <w:b/>
                <w:bCs/>
                <w:highlight w:val="none"/>
              </w:rPr>
              <w:t>(Normative)</w:t>
            </w:r>
          </w:p>
        </w:tc>
        <w:tc>
          <w:tcPr>
            <w:tcW w:w="1843" w:type="dxa"/>
            <w:noWrap w:val="0"/>
            <w:vAlign w:val="top"/>
          </w:tcPr>
          <w:p>
            <w:pPr>
              <w:rPr>
                <w:b/>
                <w:bCs/>
                <w:highlight w:val="none"/>
              </w:rPr>
            </w:pPr>
            <w:r>
              <w:rPr>
                <w:b/>
                <w:bCs/>
                <w:highlight w:val="none"/>
              </w:rPr>
              <w:t>RAN Dependency</w:t>
            </w:r>
          </w:p>
          <w:p>
            <w:pPr>
              <w:rPr>
                <w:b/>
                <w:bCs/>
                <w:highlight w:val="none"/>
              </w:rPr>
            </w:pPr>
            <w:r>
              <w:rPr>
                <w:b/>
                <w:bCs/>
                <w:highlight w:val="none"/>
              </w:rPr>
              <w:t xml:space="preserve">(Yes/No/Maybe) </w:t>
            </w:r>
          </w:p>
        </w:tc>
        <w:tc>
          <w:tcPr>
            <w:tcW w:w="1842" w:type="dxa"/>
            <w:noWrap w:val="0"/>
            <w:vAlign w:val="top"/>
          </w:tcPr>
          <w:p>
            <w:pPr>
              <w:rPr>
                <w:b/>
                <w:bCs/>
                <w:highlight w:val="none"/>
              </w:rPr>
            </w:pPr>
            <w:r>
              <w:rPr>
                <w:b/>
                <w:bCs/>
                <w:highlight w:val="none"/>
              </w:rPr>
              <w:t>SA Dependency</w:t>
            </w:r>
          </w:p>
          <w:p>
            <w:pPr>
              <w:rPr>
                <w:b/>
                <w:bCs/>
                <w:highlight w:val="none"/>
              </w:rPr>
            </w:pPr>
            <w:r>
              <w:rPr>
                <w:b/>
                <w:bCs/>
                <w:highlight w:val="none"/>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rFonts w:hint="eastAsia"/>
                <w:highlight w:val="none"/>
                <w:lang w:eastAsia="zh-CN"/>
              </w:rPr>
            </w:pPr>
            <w:r>
              <w:rPr>
                <w:rFonts w:hint="eastAsia"/>
                <w:highlight w:val="none"/>
                <w:lang w:eastAsia="zh-CN"/>
              </w:rPr>
              <w:t>W</w:t>
            </w:r>
            <w:r>
              <w:rPr>
                <w:highlight w:val="none"/>
                <w:lang w:eastAsia="zh-CN"/>
              </w:rPr>
              <w:t>oP#1</w:t>
            </w:r>
          </w:p>
        </w:tc>
        <w:tc>
          <w:tcPr>
            <w:tcW w:w="1560" w:type="dxa"/>
            <w:shd w:val="clear" w:color="auto" w:fill="auto"/>
            <w:noWrap w:val="0"/>
            <w:vAlign w:val="top"/>
          </w:tcPr>
          <w:p>
            <w:pPr>
              <w:rPr>
                <w:rFonts w:hint="eastAsia"/>
                <w:highlight w:val="none"/>
                <w:lang w:eastAsia="zh-CN"/>
              </w:rPr>
            </w:pPr>
            <w:r>
              <w:rPr>
                <w:rFonts w:hint="eastAsia"/>
                <w:highlight w:val="none"/>
                <w:lang w:val="en-US" w:eastAsia="zh-CN"/>
              </w:rPr>
              <w:t>1</w:t>
            </w:r>
          </w:p>
        </w:tc>
        <w:tc>
          <w:tcPr>
            <w:tcW w:w="1559" w:type="dxa"/>
            <w:noWrap w:val="0"/>
            <w:vAlign w:val="top"/>
          </w:tcPr>
          <w:p>
            <w:pPr>
              <w:rPr>
                <w:rFonts w:hint="eastAsia"/>
                <w:highlight w:val="none"/>
                <w:lang w:eastAsia="zh-CN"/>
              </w:rPr>
            </w:pPr>
            <w:r>
              <w:rPr>
                <w:rFonts w:hint="eastAsia"/>
                <w:highlight w:val="none"/>
                <w:lang w:eastAsia="zh-CN"/>
              </w:rPr>
              <w:t>1</w:t>
            </w:r>
          </w:p>
        </w:tc>
        <w:tc>
          <w:tcPr>
            <w:tcW w:w="1843" w:type="dxa"/>
            <w:noWrap w:val="0"/>
            <w:vAlign w:val="top"/>
          </w:tcPr>
          <w:p>
            <w:pPr>
              <w:rPr>
                <w:rFonts w:hint="default"/>
                <w:highlight w:val="none"/>
                <w:lang w:val="en-US" w:eastAsia="zh-CN"/>
              </w:rPr>
            </w:pPr>
            <w:r>
              <w:rPr>
                <w:rFonts w:hint="eastAsia"/>
                <w:highlight w:val="none"/>
                <w:lang w:val="en-US" w:eastAsia="zh-CN"/>
              </w:rPr>
              <w:t>No</w:t>
            </w:r>
          </w:p>
        </w:tc>
        <w:tc>
          <w:tcPr>
            <w:tcW w:w="1842" w:type="dxa"/>
            <w:noWrap w:val="0"/>
            <w:vAlign w:val="top"/>
          </w:tcPr>
          <w:p>
            <w:pPr>
              <w:rPr>
                <w:rFonts w:hint="eastAsia"/>
                <w:highlight w:val="none"/>
                <w:lang w:eastAsia="zh-CN"/>
              </w:rPr>
            </w:pPr>
            <w:r>
              <w:rPr>
                <w:rFonts w:hint="eastAsia"/>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none"/>
              </w:rPr>
            </w:pPr>
            <w:r>
              <w:rPr>
                <w:rFonts w:hint="eastAsia"/>
                <w:highlight w:val="none"/>
                <w:lang w:eastAsia="zh-CN"/>
              </w:rPr>
              <w:t>W</w:t>
            </w:r>
            <w:r>
              <w:rPr>
                <w:highlight w:val="none"/>
                <w:lang w:eastAsia="zh-CN"/>
              </w:rPr>
              <w:t>oP#2</w:t>
            </w:r>
          </w:p>
        </w:tc>
        <w:tc>
          <w:tcPr>
            <w:tcW w:w="1560" w:type="dxa"/>
            <w:shd w:val="clear" w:color="auto" w:fill="auto"/>
            <w:noWrap w:val="0"/>
            <w:vAlign w:val="top"/>
          </w:tcPr>
          <w:p>
            <w:pPr>
              <w:rPr>
                <w:rFonts w:hint="default"/>
                <w:highlight w:val="none"/>
                <w:lang w:val="en-US" w:eastAsia="zh-CN"/>
              </w:rPr>
            </w:pPr>
            <w:r>
              <w:rPr>
                <w:rFonts w:hint="eastAsia"/>
                <w:highlight w:val="none"/>
                <w:lang w:val="en-US" w:eastAsia="zh-CN"/>
              </w:rPr>
              <w:t>0.5</w:t>
            </w:r>
          </w:p>
        </w:tc>
        <w:tc>
          <w:tcPr>
            <w:tcW w:w="1559" w:type="dxa"/>
            <w:noWrap w:val="0"/>
            <w:vAlign w:val="top"/>
          </w:tcPr>
          <w:p>
            <w:pPr>
              <w:rPr>
                <w:rFonts w:hint="default"/>
                <w:highlight w:val="none"/>
                <w:lang w:val="en-US" w:eastAsia="zh-CN"/>
              </w:rPr>
            </w:pPr>
            <w:r>
              <w:rPr>
                <w:rFonts w:hint="eastAsia"/>
                <w:highlight w:val="none"/>
                <w:lang w:val="en-US" w:eastAsia="zh-CN"/>
              </w:rPr>
              <w:t>0.5</w:t>
            </w:r>
          </w:p>
        </w:tc>
        <w:tc>
          <w:tcPr>
            <w:tcW w:w="1843" w:type="dxa"/>
            <w:noWrap w:val="0"/>
            <w:vAlign w:val="top"/>
          </w:tcPr>
          <w:p>
            <w:pPr>
              <w:rPr>
                <w:highlight w:val="none"/>
              </w:rPr>
            </w:pPr>
            <w:r>
              <w:rPr>
                <w:rFonts w:hint="eastAsia"/>
                <w:highlight w:val="none"/>
                <w:lang w:val="en-US" w:eastAsia="zh-CN"/>
              </w:rPr>
              <w:t>No</w:t>
            </w:r>
          </w:p>
        </w:tc>
        <w:tc>
          <w:tcPr>
            <w:tcW w:w="1842" w:type="dxa"/>
            <w:noWrap w:val="0"/>
            <w:vAlign w:val="top"/>
          </w:tcPr>
          <w:p>
            <w:pPr>
              <w:rPr>
                <w:highlight w:val="none"/>
              </w:rPr>
            </w:pPr>
            <w:r>
              <w:rPr>
                <w:rFonts w:hint="eastAsia"/>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none"/>
              </w:rPr>
            </w:pPr>
            <w:r>
              <w:rPr>
                <w:rFonts w:hint="eastAsia"/>
                <w:highlight w:val="none"/>
                <w:lang w:eastAsia="zh-CN"/>
              </w:rPr>
              <w:t>W</w:t>
            </w:r>
            <w:r>
              <w:rPr>
                <w:highlight w:val="none"/>
                <w:lang w:eastAsia="zh-CN"/>
              </w:rPr>
              <w:t>oP#3</w:t>
            </w:r>
          </w:p>
        </w:tc>
        <w:tc>
          <w:tcPr>
            <w:tcW w:w="1560" w:type="dxa"/>
            <w:shd w:val="clear" w:color="auto" w:fill="auto"/>
            <w:noWrap w:val="0"/>
            <w:vAlign w:val="top"/>
          </w:tcPr>
          <w:p>
            <w:pPr>
              <w:rPr>
                <w:rFonts w:hint="eastAsia"/>
                <w:highlight w:val="none"/>
                <w:lang w:eastAsia="zh-CN"/>
              </w:rPr>
            </w:pPr>
            <w:r>
              <w:rPr>
                <w:rFonts w:hint="eastAsia"/>
                <w:highlight w:val="none"/>
                <w:lang w:val="en-US" w:eastAsia="zh-CN"/>
              </w:rPr>
              <w:t>0.5</w:t>
            </w:r>
          </w:p>
        </w:tc>
        <w:tc>
          <w:tcPr>
            <w:tcW w:w="1559" w:type="dxa"/>
            <w:noWrap w:val="0"/>
            <w:vAlign w:val="top"/>
          </w:tcPr>
          <w:p>
            <w:pPr>
              <w:rPr>
                <w:rFonts w:hint="eastAsia"/>
                <w:highlight w:val="none"/>
                <w:lang w:eastAsia="zh-CN"/>
              </w:rPr>
            </w:pPr>
            <w:r>
              <w:rPr>
                <w:rFonts w:hint="eastAsia"/>
                <w:highlight w:val="none"/>
                <w:lang w:val="en-US" w:eastAsia="zh-CN"/>
              </w:rPr>
              <w:t>0.5</w:t>
            </w:r>
          </w:p>
        </w:tc>
        <w:tc>
          <w:tcPr>
            <w:tcW w:w="1843" w:type="dxa"/>
            <w:noWrap w:val="0"/>
            <w:vAlign w:val="top"/>
          </w:tcPr>
          <w:p>
            <w:pPr>
              <w:rPr>
                <w:highlight w:val="none"/>
              </w:rPr>
            </w:pPr>
            <w:r>
              <w:rPr>
                <w:rFonts w:hint="eastAsia"/>
                <w:highlight w:val="none"/>
                <w:lang w:val="en-US" w:eastAsia="zh-CN"/>
              </w:rPr>
              <w:t>No</w:t>
            </w:r>
          </w:p>
        </w:tc>
        <w:tc>
          <w:tcPr>
            <w:tcW w:w="1842" w:type="dxa"/>
            <w:noWrap w:val="0"/>
            <w:vAlign w:val="top"/>
          </w:tcPr>
          <w:p>
            <w:pPr>
              <w:rPr>
                <w:highlight w:val="none"/>
              </w:rPr>
            </w:pPr>
            <w:r>
              <w:rPr>
                <w:rFonts w:hint="eastAsia"/>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none"/>
              </w:rPr>
            </w:pPr>
            <w:r>
              <w:rPr>
                <w:rFonts w:hint="eastAsia"/>
                <w:highlight w:val="none"/>
                <w:lang w:eastAsia="zh-CN"/>
              </w:rPr>
              <w:t>W</w:t>
            </w:r>
            <w:r>
              <w:rPr>
                <w:highlight w:val="none"/>
                <w:lang w:eastAsia="zh-CN"/>
              </w:rPr>
              <w:t>oP#</w:t>
            </w:r>
            <w:r>
              <w:rPr>
                <w:rFonts w:hint="eastAsia"/>
                <w:highlight w:val="none"/>
                <w:lang w:val="en-US" w:eastAsia="zh-CN"/>
              </w:rPr>
              <w:t>4</w:t>
            </w:r>
            <w:r>
              <w:rPr>
                <w:highlight w:val="none"/>
                <w:lang w:eastAsia="zh-CN"/>
              </w:rPr>
              <w:t>.</w:t>
            </w:r>
          </w:p>
        </w:tc>
        <w:tc>
          <w:tcPr>
            <w:tcW w:w="1560" w:type="dxa"/>
            <w:shd w:val="clear" w:color="auto" w:fill="auto"/>
            <w:noWrap w:val="0"/>
            <w:vAlign w:val="top"/>
          </w:tcPr>
          <w:p>
            <w:pPr>
              <w:rPr>
                <w:highlight w:val="none"/>
              </w:rPr>
            </w:pPr>
            <w:r>
              <w:rPr>
                <w:rFonts w:hint="eastAsia"/>
                <w:highlight w:val="none"/>
                <w:lang w:val="en-US" w:eastAsia="zh-CN"/>
              </w:rPr>
              <w:t>0.5</w:t>
            </w:r>
          </w:p>
        </w:tc>
        <w:tc>
          <w:tcPr>
            <w:tcW w:w="1559" w:type="dxa"/>
            <w:noWrap w:val="0"/>
            <w:vAlign w:val="top"/>
          </w:tcPr>
          <w:p>
            <w:pPr>
              <w:rPr>
                <w:highlight w:val="none"/>
              </w:rPr>
            </w:pPr>
            <w:r>
              <w:rPr>
                <w:rFonts w:hint="eastAsia"/>
                <w:highlight w:val="none"/>
                <w:lang w:val="en-US" w:eastAsia="zh-CN"/>
              </w:rPr>
              <w:t>0.5</w:t>
            </w:r>
          </w:p>
        </w:tc>
        <w:tc>
          <w:tcPr>
            <w:tcW w:w="1843" w:type="dxa"/>
            <w:noWrap w:val="0"/>
            <w:vAlign w:val="top"/>
          </w:tcPr>
          <w:p>
            <w:pPr>
              <w:rPr>
                <w:highlight w:val="none"/>
              </w:rPr>
            </w:pPr>
            <w:r>
              <w:rPr>
                <w:rFonts w:hint="eastAsia"/>
                <w:highlight w:val="none"/>
                <w:lang w:val="en-US" w:eastAsia="zh-CN"/>
              </w:rPr>
              <w:t>No</w:t>
            </w:r>
          </w:p>
        </w:tc>
        <w:tc>
          <w:tcPr>
            <w:tcW w:w="1842" w:type="dxa"/>
            <w:noWrap w:val="0"/>
            <w:vAlign w:val="top"/>
          </w:tcPr>
          <w:p>
            <w:pPr>
              <w:rPr>
                <w:highlight w:val="none"/>
              </w:rPr>
            </w:pPr>
            <w:r>
              <w:rPr>
                <w:rFonts w:hint="eastAsia"/>
                <w:highlight w:val="none"/>
                <w:lang w:val="en-US" w:eastAsia="zh-CN"/>
              </w:rPr>
              <w:t>No</w:t>
            </w:r>
          </w:p>
        </w:tc>
      </w:tr>
    </w:tbl>
    <w:p>
      <w:pPr>
        <w:overflowPunct w:val="0"/>
        <w:autoSpaceDE w:val="0"/>
        <w:autoSpaceDN w:val="0"/>
        <w:adjustRightInd w:val="0"/>
        <w:spacing w:after="180"/>
        <w:textAlignment w:val="baseline"/>
        <w:rPr>
          <w:rFonts w:hint="default" w:cs="Times New Roman"/>
          <w:lang w:val="en-US" w:eastAsia="zh-CN"/>
        </w:rPr>
      </w:pPr>
      <w:bookmarkStart w:id="0" w:name="_GoBack"/>
      <w:bookmarkEnd w:id="0"/>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宋体"/>
                <w:lang w:val="en-US" w:eastAsia="zh-CN"/>
              </w:rPr>
            </w:pPr>
            <w:r>
              <w:rPr>
                <w:rFonts w:hint="eastAsia" w:eastAsia="宋体"/>
                <w:lang w:val="en-US" w:eastAsia="zh-CN"/>
              </w:rPr>
              <w:t>TR</w:t>
            </w:r>
          </w:p>
        </w:tc>
        <w:tc>
          <w:tcPr>
            <w:tcW w:w="1134" w:type="dxa"/>
          </w:tcPr>
          <w:p>
            <w:pPr>
              <w:pStyle w:val="26"/>
              <w:rPr>
                <w:rFonts w:hint="default" w:eastAsia="宋体"/>
                <w:lang w:val="en-US" w:eastAsia="zh-CN"/>
              </w:rPr>
            </w:pPr>
            <w:r>
              <w:rPr>
                <w:rFonts w:hint="eastAsia" w:eastAsia="宋体"/>
                <w:lang w:val="en-US" w:eastAsia="zh-CN"/>
              </w:rPr>
              <w:t>28.9XX</w:t>
            </w:r>
          </w:p>
        </w:tc>
        <w:tc>
          <w:tcPr>
            <w:tcW w:w="2409" w:type="dxa"/>
          </w:tcPr>
          <w:p>
            <w:pPr>
              <w:pStyle w:val="26"/>
            </w:pPr>
            <w:r>
              <w:rPr>
                <w:rFonts w:hint="eastAsia"/>
              </w:rPr>
              <w:t>Study on effectiveness of zero-touch orchestration and management</w:t>
            </w:r>
          </w:p>
        </w:tc>
        <w:tc>
          <w:tcPr>
            <w:tcW w:w="993" w:type="dxa"/>
          </w:tcPr>
          <w:p>
            <w:pPr>
              <w:pStyle w:val="26"/>
              <w:rPr>
                <w:rFonts w:hint="eastAsia" w:eastAsia="宋体"/>
                <w:lang w:val="en-US" w:eastAsia="zh-CN"/>
              </w:rPr>
            </w:pPr>
            <w:r>
              <w:rPr>
                <w:rFonts w:hint="eastAsia" w:eastAsia="宋体"/>
                <w:lang w:val="en-US" w:eastAsia="zh-CN"/>
              </w:rPr>
              <w:t>SA#105</w:t>
            </w:r>
          </w:p>
          <w:p>
            <w:pPr>
              <w:pStyle w:val="26"/>
              <w:rPr>
                <w:rFonts w:hint="default" w:eastAsia="宋体"/>
                <w:lang w:val="en-US" w:eastAsia="zh-CN"/>
              </w:rPr>
            </w:pPr>
            <w:r>
              <w:rPr>
                <w:rFonts w:hint="eastAsia" w:eastAsia="宋体"/>
                <w:lang w:val="en-US" w:eastAsia="zh-CN"/>
              </w:rPr>
              <w:t>Sep 2024</w:t>
            </w:r>
          </w:p>
        </w:tc>
        <w:tc>
          <w:tcPr>
            <w:tcW w:w="1074" w:type="dxa"/>
          </w:tcPr>
          <w:p>
            <w:pPr>
              <w:pStyle w:val="26"/>
              <w:rPr>
                <w:rFonts w:hint="eastAsia" w:eastAsia="宋体"/>
                <w:lang w:val="en-US" w:eastAsia="zh-CN"/>
              </w:rPr>
            </w:pPr>
            <w:r>
              <w:rPr>
                <w:rFonts w:hint="eastAsia" w:eastAsia="宋体"/>
                <w:lang w:val="en-US" w:eastAsia="zh-CN"/>
              </w:rPr>
              <w:t>SA#106</w:t>
            </w:r>
          </w:p>
          <w:p>
            <w:pPr>
              <w:pStyle w:val="26"/>
            </w:pPr>
            <w:r>
              <w:rPr>
                <w:rFonts w:hint="eastAsia" w:eastAsia="宋体"/>
                <w:lang w:val="en-US" w:eastAsia="zh-CN"/>
              </w:rPr>
              <w:t>Dec 2024</w:t>
            </w:r>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4"/>
      </w:pPr>
      <w:r>
        <w:t>{Mandatory: &lt;FamilyName&gt;, &lt;GivenName&gt;, &lt;Company&gt;, &lt;email address&gt;}</w:t>
      </w:r>
    </w:p>
    <w:p>
      <w:pPr>
        <w:pStyle w:val="24"/>
      </w:pPr>
      <w:r>
        <w:t>{Optional: &lt;FamilyName&gt;, &lt;GivenName&gt;, &lt;Company&gt;, &lt;email address&gt;: Secondary task(s)}</w:t>
      </w:r>
    </w:p>
    <w:p>
      <w:pPr>
        <w:pStyle w:val="24"/>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hint="default" w:eastAsia="宋体"/>
          <w:lang w:val="en-US" w:eastAsia="zh-CN"/>
        </w:rPr>
      </w:pPr>
      <w:r>
        <w:rPr>
          <w:rFonts w:hint="eastAsia" w:eastAsia="宋体"/>
          <w:lang w:val="en-US" w:eastAsia="zh-CN"/>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default" w:eastAsia="宋体"/>
          <w:lang w:val="en-US" w:eastAsia="zh-CN"/>
        </w:rPr>
      </w:pPr>
      <w:r>
        <w:rPr>
          <w:rFonts w:hint="eastAsia" w:eastAsia="宋体"/>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rPr>
              <w:t>China Telecomunication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2EEB676F"/>
    <w:rsid w:val="35440326"/>
    <w:rsid w:val="41425B1E"/>
    <w:rsid w:val="4C333C32"/>
    <w:rsid w:val="4D9A6443"/>
    <w:rsid w:val="62FE12E1"/>
    <w:rsid w:val="65634AE1"/>
    <w:rsid w:val="6F885CC3"/>
    <w:rsid w:val="7C7A41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6395</Characters>
  <Lines>53</Lines>
  <Paragraphs>15</Paragraphs>
  <TotalTime>1</TotalTime>
  <ScaleCrop>false</ScaleCrop>
  <LinksUpToDate>false</LinksUpToDate>
  <CharactersWithSpaces>7515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China Mobile</cp:lastModifiedBy>
  <cp:lastPrinted>2001-04-23T09:30:00Z</cp:lastPrinted>
  <dcterms:modified xsi:type="dcterms:W3CDTF">2023-09-29T15:52:46Z</dcterms:modified>
  <dc:title>Source: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DD7A102F05A9418082D86CF01B9AC6F0</vt:lpwstr>
  </property>
</Properties>
</file>